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проанализировав условия заключенного сторонами договора, руководствуясь 2 положениями законодательства, регулирующего спорные правоотношения, установив ненадлежащее исполнение ответчиком (генподрядчик) обязательств по оплате выполненных истцом (подрядчик) работ, суды признали обоснованными исковые требования о взыскании с ответчика испрашиваемой задолженности и неустойки, указав на отсутствие оснований для применения положений статьи 333 Гражданского кодекса Российской Федерации ввиду непредставления доказательств несоразмерности неустойки последствиям нарушения обязательства.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дочернего общества с ограниченной ответственностью «РСТ-ГЕНПОДРЯД»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