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Исследовав и оценив представленные в материалы дела доказательства, руководствуясь положениями гражданского законодательства 2 и законодательства, регулирующего обращение с твердыми коммунальными отходами и организацию местного самоуправления, суды пришли к выводу о наличии оснований для взыскания с муниципального образования в лице администрации за счет средств казны муниципального образования понесенных региональным оператором расходов на ликвидацию несанкционированной свалки, образовавшейся в границах муниципального образования на земельном участке, государственная собственность на который не разграничена. Суды учли, что в соответствии с утвержденной постановлением администрации от 15.10.2018 № 2389 муниципальной программой на 2019 - 2024 годы «Организация предоставления населению жилищно-коммунальных услуг, благоустройство и охрана окружающей среды в городе Курске» ликвидации несанкционированных свалок производится за счет средств бюджета муниципального образования. Ссылка заявителя на постановление Конституционного суда Российской Федерации от 30.05.2023 № 27-П, принятое после вынесения обжалуемых судебных актов, не является основанием для их пересмотра в кассационном порядке. Следует отметить, что согласно указанному постановлению муниципальное образование не лишено возможности защитить свое право, которое оно считает нарушенным, с учетом правовой позиции, приведенной в данном постановлении, норм бюджетного законодательства и региональных программ Курской области.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администрации города Курска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