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несоответствие выводов судов фактическим обстоятельствам дела,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установив факт выполнения истцом (подрядчик) работ, использования 2 ответчиком (заказчик) результата данных работ и наличие для заказчика его потребительской ценности, принимая во внимание произведенную ответчиком оплату, руководствуясь положениями законодательства, регулирующего спорные правоотношения, суды пришли к выводу об обоснованности первоначального иска и отсутствии оснований для удовлетворения встречных требований.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 Центр Самарагд»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