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несоответствие выводов судов фактическим обстоятельствам дела,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Исследовав и оценив представленные в материалы дела доказательства, проанализировав условия заключенного сторонами договора, руководствуясь положениями законодательства, регулирующего спорные правоотношения, суды пришли к выводу о наличии оснований для отказа в удовлетворении первоначального иска и удовлетворения встречных требований, исходя из установленных обстоятельств выполнения ответчиком (исполнитель) работ (услуг) на сумму, превышающую размер полученной от истца (заказчик) оплаты, и передачи их результата заказчику.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«Калининградский центр юридических услуг»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