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проанализировав условия договора на выполнение подрядных работ, руководствуясь положениями законодательства, регулирующего спорные 2 правоотношения, суды пришли к выводу о наличии оснований для удовлетворения исковых требований о расторжении договора с учетом соблюдения истцом предусмотренного порядка урегулирования спора и отказа в удовлетворении исковых требований о взыскании задолженности, пеней и штрафа ввиду пропуска истцом срока исковой давности.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«Афалина»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