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Выраженное в жалобе несогласие с выводами судов, направлено на переоценку представленных в материалы дела доказательств, что не относится 2 к полномочиям кассационной инстанции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«Шелеховские тепловые 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