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Попова Марка Эдуардовича в Арбитражный суд города Москвы обратился Ширшаков В.Е. с заявлением, уточненным в порядке статьи 49 Арбитражного процессуального кодекса Российской Федерации, о включении в реестр требований кредиторов должника задолженности в размере 8 237 945 рублей основного долга и 7 665 000 рублей процентов, а также процентов за период с 11.02.2019 по дату фактической оплаты, возникшей в связи с неисполнением ООО «Блиц» обязательств перед Ширшаковым В.Е. Определением Арбитражного суда города Москвы от 13.01.2023 в удовлетворении заявления отказано. Постановлением Девятого арбитражного апелляционного суда от 23.03.2023 определение суда первой инстанции оставлено без изменения. Арбитражный суд Московского округа постановлением от 08.06.2023 указанные судебные акты оставил без изменения. Ширшаков В.Е.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15, 53.1, 399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доказательств недобросовестности или неразумности действий должника, признав недоказанным факт уклонения должника от исполнения обязательств перед взыскателем при наличии у общества достаточных денежных средств либо совершение каких-либо умышленных действий с целью уклонения от исполнения обязательств перед заявителем.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