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22.08.2023 с ходатайством о восстановлении срока. Нарушение срока подачи жалобы общество связывает с невозможностью в связи с нахождением бухгалтера в очередном отпуске своевременной уплаты государственной пошлины.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Обозначенная причина не носит объективного характера, поэтому не создает оснований для восстановления срока. Руководствуясь статьей 184, пунктом 3 части 1 статьи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«Волга-Дом» в восстановлении срока подачи кассационной жалобы на решение Арбитражного суда Саратовской области от 09.09.2022 по делу № А57-4240/2022, постановление Двенадцатого арбитражного апелляционного суда от 15.11.2022 и постановление Арбитражного суда Поволжского округа от 01.03.2023 по тому же делу. Возвратить обществу с ограниченной ответственностью «Управляющая компания «Волга-Дом» кассационную жалобу. Возвратить обществу с ограниченной ответственностью «СарРЦ» из федерального бюджета 6 000 (шесть тысяч) рублей государственной пошлины, уплаченной по платежному поручению от 24.05.2023 № 6413.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