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 конкурсный управляющий обратился в суд с заявлением о признании недействительной сделкой договора купли-продажи транспортного средства от 07.09.2014 и применении последствий недействительности сделки в виде взыскания с Сеоева Константина Михайловича 2 700 000 рублей. Определением Арбитражного суда Республики Татарстан от 26.12.2022, оставленным без изменения постановлениями Одиннадцатого арбитражного апелляционного суда от 22.03.2023 и Арбитражного суда Поволжского округа от 30.05.2023,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руководствовались статьями 181, 199, 200 Гражданского кодекса Российской Федерации, статьями 61.2, 61.9 Федерального закона от 26.10.2002 № 127-ФЗ «О несостоятельности (банкротстве)», не установив у оспариваемой сделки пороков, выходящих за пределы дефектов сделок с предпочтением или подозрительных сделок, пришли выводам об отсутствии оснований для признания её недействительной в связи с пропуском конкурсным управляющим срока исковой давности для предъявления своих требований. Выводы судов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