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Абдуллаев С.А. обратился в суд с заявлением о включении в реестр требований кредиторов должника (далее – реестр) задолженности в общем размере 38 775 000 рублей. Определением Арбитражного суда Республики Дагестан от 30.09.2022 выделено в отдельное производство требование Абдуллаева С.А. о включении в реестр 16 775 000 рублей процентов. Требования в размере 22 000 000 рублей признаны обоснованными и включены в третью очередь реестра. Постановлением Шестнадцатого арбитражного апелляционного суда от 29.03.2023, оставленным без изменения постановлением Арбитражного суда Северо-Кавказского округа от 20.06.2023, определение суда первой инстанции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основываясь на оценке имеющихся и дополнительно представленных в дело доказательств, результатах судебной почерковедческой экспертизы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исходили из отсутствия неопровержимых доказательств существования у должника непогашенной задолженности перед займодавцем, впоследствии уступившим своё право требования заявителю, отсутствия разумных обоснований невозможности востребования долга в течение трёх лет с даты уступки права требования, в связи с чем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