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одновременно заявив ходатайство о зачете государственной пошлины, уплаченной при подаче кассационной жалобы в Верховный Суд Российской Федерации на судебные акты по деду № А40-115280/2022, в счет уплаты государственной пошлины при подаче настоящей кассационной жалобы. В обоснование заявленного ходатайства заявителем представлены копия платежного поручения от 28.03.2023 № 13109 об оплате государственной пошлины на сумму 3 000 рублей, копия письма Верховного Суда Российской Федерации от 13.04.2023 о возвращении жалобы без рассмотрения по существу. Пунктом 6 статьи 33340 Налогового кодекса Российской Федерации установлено,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2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Поскольку обществом в обоснование ходатайства представлены документы, подтверждающие наличие основания для зачета государственной пошлины,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«Абсолют Страхование» о зачете государственной пошлины за подачу кассационной жалобы удовлетворить. Зачесть государственную пошлину в размере 3 000 рублей, уплаченную по платежному поручению от 28.03.2023 № 13109, в счет уплаты государственной пошлины при подаче кассационной жалобы на решение Арбитражного суда города Москвы от 23.01.2023, постановление Девятого арбитражного апелляционного суда от 10.04.2023 и постановление Арбитражного суда Московского округа от 20.07.2023 по делу № А40-197499/2022.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