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платежей, совершенных должником в пользу общества с ограниченной ответственностью «Компания «Добродел» (далее – общество) на основании актов приемки-передачи выполненных работ за период январь 2017 года – сентябрь 2020 года по договору от 01.07.2014 № 21/2014, применении последствий недействительности сделок в виде взыскания с общества в пользу должника денежных средств в сумме 133 886 рублей 28 копеек, признания общества утратившим права требования к должнику на сумму 304 328 рублей 47 копеек. Определением Арбитражного суда Пермского края от 21.12.2022, оставленным без изменения постановлениями Семнадцатого арбитражного апелляционного суда от 14.02.2023 и Арбитражного суду Уральского округа от 12.05.2023,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того, что оспариваемые платежи совершены во исполнение условий действующего договора и актов выполненных работ, то есть в процессе обычной хозяйственной деятельности должника (осуществлявшего уставную деятельность по управлению многоквартирными домами) без злоупотребления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