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платежей, совершенных должником в пользу индивидуального предпринимателя Полякова Михаила Викторовича (далее – предприниматель) на основании актов приемки-передачи выполненных работ за период апрель 2018 года – апрель 2019 года по договору от 01.04.2018 № 7, применении последствий недействительности сделок в виде взыскания с предпринимателя в пользу должника денежных средств в сумме 1 437 601 рубль 65 копеек. Определением Арбитражного суда Пермского края от 21.12.2022, оставленным без изменения постановлениями Семнадцатого арбитражного апелляционного суда от 14.02.2023 и Арбитражного суду Уральского округа от 11.05.2023,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заявления, суды,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исходили из того, что оспариваемые платежи совершены во исполнение условий действующего договора и актов выполненных работ, то есть в процессе обычной хозяйственной деятельности должника, осуществлявшего уставную деятельность по управлению многоквартирными домами, без злоупотребления правом и намерений причинить вред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