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Хорава Наталья Олеговна (далее – кредитор) обратилась в суд с жалобой на действия (бездействие) временного управляющего должником Гулакова И.А., выразившиеся в не рассмотрении и не включении её требований реестр требований кредиторов должника (далее – реестр). Определением Арбитражного суда Калининградской области от 15.12.2022, оставленным без изменения постановлениями Тринадцатого арбитражного апелляционного суда от 06.03.2023 и Арбитражного суда Северо- Западного округа от 26.06.2023, жалоба удовлетворена. В кассационной жалобе, поданной в Верховный Суд Российской Федерации, заявитель просит отменить названные судебные акты.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2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статьями 20.3, 60, 67, 129 Федерального закона от 26.10.2002 № 127-ФЗ «О несостоятельности (банкротстве)», исходили из того, что заявитель допустил нарушение требований законодательства о банкротстве, прав и законных интересов кредитора в результате не рассмотрения и не предоставления ответа на направленные кредитором заявления, не дачи суду аргументированных возражений против включения данных требований в реестр (учитываемых в настоящее время в реестре в составе требований кредиторов второй очереди удовлетворения). Выводы судов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