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податель жалобы обосновывает ходатайство об отсрочке уплаты государственной пошлины сложным имущественным положением, обусловленным ведением в отношении него процедуры банкротства. Согласно статье 102 Арбитражного процессуального кодекса Российской Федерации и пункту 2 статьи 333.22 Налогового кодекса Российской предоставление отсрочки уплаты государственной пошлины производится арбитражным судом исходя из имущественного положения плательщика. Суд счел ходатайство подлежащим удовлетворению. Руководствуясь статьей 184 Арбитражного процессуального кодекса Российской Федерации, статьей 333.22 Налогового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предоставить Бату Анзору Аскарбиевичу отсрочку уплаты государственной пошлины до окончания производства по поданной им кассационной жалобе.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