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28.08.2023 обратилось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185,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муниципального бюджетного учреждения «Спортивная школа «Юность» удовлетворить, срок на подачу кассационной жалобы восстановить.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