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«Водоканал» обратилось в суд с заявлениями, объединёнными в одно производство для совместного рассмотрения, о признании недействительными договоров уступки права требования от 30.11.2018 в общем размере 60 210 рублей 80 копеек, заключенных должником с обществом с ограниченной ответственностью «БиоТеплоРесурс». Определением Арбитражного суда Вологодской области от 11.10.2022, оставленным без изменения постановлениями Четырнадцатого арбитражного апелляционного суда от 31.01.2023 и постановления Арбитражного суда Северо–Западного округа от 08.06.2023,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пунктом 2 статьи 61.2 Федерального закона от 26.10.2002 № 127-ФЗ «О несостоятельности (банкротстве)», исходили из отсутствия необходимой совокупности обстоятельств для признания оспариваемых сделок недействительными, указав на недоказанность причинения вреда имущественным правам и интересам должника, а также его кредиторов в результате заключения данных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жалобы, основаны на ином толковании норм права и направлены на переоценку представленных доказательств.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