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платежей, совершенных должником в пользу общества с ограниченной ответственностью «Репаир-Н», (далее – общество) за период март 2018 – июнь 2020 по договору от 01.07.2014 № 20/2014, применении последствий недействительности сделок в виде взыскания с общества в пользу должника денежных средств в сумме 1 944 427 рублей 16 копеек, признания общества утратившим права требования к должника на сумму 207 670 рублей 68 копеек. Определением Арбитражного суда Пермского края от 21.12.2022, оставленным без изменения постановлениями Семнадцатого арбитражного апелляционного суда от 14.02.2023 и Арбитражного суда Уральского округа от 15.05.2023,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того, что оспариваемые платежи совершены во исполнение условий действующего договора и актов выполненных работ, то есть в процессе обычной хозяйственной деятельности должника (осуществлявшего уставную деятельность по управлению многоквартирными домами) без злоупотребления правом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