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Броцман Андрей Викторович обратился в суд с заявлением о признании обязательств должника перед ним, вытекающих из договора займа от 07.09.2017 на сумму 34 686 780 рублей 82 копеек, общими обязательствами супругов Елмановых Сергея Николаевича и Алины Геннадьевны. Определением Арбитражного суда Оренбургской области от 25.11.2022, оставленным без изменения постановлениями Восемнадцатого арбитражного апелляционного суда от 13.02.2023 и Арбитражного суда Уральского округа от 18.05.2023.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213.8, 213.19, 213.24 Федерального закона от 26.10.2002 № 127-ФЗ «О несостоятельности (банкротстве)», статьями 34, 39, 45 Семейного кодекса Российской Федерации, пунктом 5 Обзоре судебной практики Верховного Суда Российской Федерации № 1 (2016), утверждённом Президиумом Верховного Суда Российской Федерации 13.04.2016, в отсутствие доказательств, подтверждающих расходование должником заёмных денежных средств не на нужды семьи, установили наличие оснований для признания обязательств перед кредитором общими обязательствами должника и его супруги.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