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по экономическим спорам Верховного Суда Российской Федерации с указанной кассационной жалобой, одновременно заявив ходатайство о восстановлении пропущенного срока ее подачи. Согласно части 1 статьи 291.2 Арбитражного процессуального кодекса Российской Федерации (далее -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данным Кодексом. В соответствии с частями 1, 2 статьи 117 АПК РФ процессуальный срок подлежит восстановлению по ходатайству лица, участвующего в деле, если иное не предусмотрено данным Кодексом. Арбитражный суд восстанавливает пропущенный процессуальный срок, если признает причины 2 пропуска уважительными и если не истекли предусмотренные данным Кодексом предельные допустимые сроки для восстановления. Рассмотрев ходатайство о восстановлении процессуального срока, изучив приведенные заявителем причины пропуска процессуального срока, учитывая, что ходатайство заявлено в пределах шести месяцев со дня вступления в законную силу последнего обжалуемого судебного акта, судья усматривает основания для удовлетворения ходатайства. Руководствуясь статьями 117, 184, 291.2 АПК РФ,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«Альянс-Строй» срок подачи кассационной жалобы. Судья Верховного Суда Российской Федерации Р.А. Хатыпова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