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Франке В.Н. в Арбитражный суд Московской области обратился кредитор – Харченко Т.Р. с заявлением о признании недействительными договора купли-продажи автотранспортного средства от 23.03.2017, заключенного между должником и Набиевым В.В., и договора от 25.11.2017, заключенного между Набиевым В.В. и Виноградовым Е.В. Определением Арбитражного суда Московской области от 17.06.2020, оставленным без изменения постановлением Десятого арбитражного апелляционного суда от 23.11.2020, признаны недействительными договоры купли-продажи автотранспортного средства; применены последствия недействительности сделок, истребовано из владения Виноградова Е.В. автотранспортное средство, восстановлено право собственности должника на автотранспортное средство. 2 Арбитражный суд Московского округа постановлением от 17.03.2021 указанные судебные акты отменил и направил спор на новое рассмотрение в суд первой инстанции. При новом рассмотрении спора определением Арбитражного суда Московской области от 25.04.2022, оставленным без изменения постановлением Десятого арбитражного апелляционного суда от 16.02.2023 и постановлением Арбитражного суда Московского округа от 11.05.2023, признаны недействительными договоры купли-продажи автотранспортного средства; применены последствия недействительности сделок, истребовано из владения Виноградова Е.В. автотранспортное средство, восстановлено право собственности должника на автотранспортное средство; в удовлетворении заявления в остальной части отказано. Набиев В.В., Виноградов Е.В. и Франке В.Н. обратились в Судебную коллегию Верховного Суда Российской Федерации с кассационными жалобами на принятые по спору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 не установлено. Разрешая спор, суды пришли к выводу о наличии оснований для признания цепочки последовательных спорных сделок недействительной на основании пункта 2 статьи 61.2 Федерального закона от 26.10.2002 № 127-ФЗ «О несостоятельности (банкротстве)» исходя из установленных обстоятельств неплатежеспособности должника на момент отчуждения транспортного средства и безвозмездности сделок, совершенных между аффилированными лицами, в непродолжительный промежуток времени, целью которых являлся вывод ликвидного актива должника, то есть причинение вреда имущественным правам кредиторов. Применяя последствия недействительности сделок в виде истребования из владения Виноградова Е.В. транспортного средства, суды руководствовались положениями статьи 61.6 Закона о банкротстве и статьей 167 Гражданского кодекса Российской Федерации. 3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