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перечисление должником в пользу общества 98 533 400 рублей на основании платежей от 03.07.2017, 26.07.2017, 07.08.2017, 15.08.2017, 22.08.2017, 23.08.2017, 25.08.2017, 28.08.2017, 05.09.2017, 08.09.2017, 18.09.2017, 23.10.2017, 27.10.2017, 03.11.2017, 10.11.2017, применении последствий недействительности сделки. Определением Арбитражного суда города Москвы от 29.03.2022 заявление удовлетворено; применены последствия недействительности сделки в виде взыскания с общества в конкурсную массу должника денежных средств в указанном размере. Не согласившись с определением суда первой инстанции, заявители обратились с апелляционной жалобой, одновременно заявив ходатайство о восстановлении пропущенного срока на её подачу. Определением Девятого арбитражного апелляционного суда от 10.03.2023, оставленным без изменения постановлением Арбитражного суда Московского 2 округа от 03.05.2023, отказано в удовлетворении ходатайств о восстановлении процессуального срока; прекращено производство по жалобам заявителей. В кассационных жалобах, поданных в Верховный Суд Российской Федерации, заявители просят отменить названные судебные акты, направить апелляционную жалобу в Девятый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Прекращая производство по жалобам и подтверждая законность такого прекращения, суды апелляционной инстанции и округа, руководствуясь положениями статей 117, 150 и 259 Арбитражного процессуального кодекса Российской Федерации, исходили из пропуска заявителями процессуального срока на подачу жалоб и отсутствия уважительных причин для его восстановления.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кассационных жалоб не установлено. Оснований для передачи кассационных жалоб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