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«Агроком» (далее – общество) 16.08.2023 (согласно почтовому штемпелю на конверте) обратилось в Верховный Суд Российской Федерации с кассационной жалобой на решение Арбитражного суда города Москвы от 07.12.2022 по делу № А40-163498/2022, постановление Девятого арбитражного апелляционного суда от 06.03.2023 и постановление Арбитражного суда Московского округа от 30.05.2023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Согласно части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своевременно подать жалобу. Подача кассационной жалобы в арбитражный суд с соблюдением установленных законом срока и порядка ее подачи является обязанностью лица, подающего жалобу. Ссылки общества на то, что первоначально кассационная жалоба ошибочно была подана через Арбитражный суд города Москвы и возвращена обществу письмом суда от 07.08.2023 для надлежащей подачи в соответствии с порядком, установленным частью 6 статьи 2911, не свидетельствуют о наличии таких причин, поскольку указанное обстоятельство не является препятствующим обществу своевременно обратиться с кассационной жалобой, и не может быть признано уважительной причиной пропуска срока на обжалование судебного акта. Заявленное обществом ходатайство о восстановлении пропущенного процессуального срока не содержит доводов о наличии объективных препятствий для обращения с настоящей жалобой в порядке, установленном арбитражным процессуальным законодательством. 3 Общество не представило доказательств того, что, действуя разумно и добросовестно, оно столкнулось с обстоятельствами, препятствующими своевременному направлению кассационной жалобы в Верховный Суд Российской Федерации.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«Агроком»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