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ФИО2 публичное акционерное общество Банк ВТБ обратилось в Арбитражный суд Кемеровской области с заявлением, уточненным в порядке статьи 49 Арбитражного процессуального кодекса Российской Федерации, о включении в третью очередь реестра требований кредиторов должника требования в размере 480 477 рублей 26 копеек по кредитному договору от 14.06.2013 как обеспеченного залогом имущества должника и отдельном учете в реестре требований кредиторов требования о взыскании 1 865 192 рублей 44 копеек пени, подлежащего удовлетворению после погашения основной суммы задолженности и начисленных процентов. Определением Арбитражного суда Кемеровской области от 06.08.2021 заявление удовлетворено частично. В реестр требований кредиторов с отнесением в третью очередь включено требование в размере 480 477 рублей26 копеек, отдельно учтено и признано подлежащими удовлетворению после погашения основной суммы задолженности и причитающихся процентов требование в размере 1 244 197 рублей 65 копеек; в удовлетворении заявления в остальной части отказано. Постановлением Седьмого арбитражного апелляционного суда от 02.11.2021 определение суда первой инстанции оставлено без изменения. Арбитражный суд Западно-Сибирского округа постановлениемот 19.01.2022 указанные судебные акты оставил без изменения. ФИО1 обратилась в Судебную коллегию Верховного Суда Российской Федерации с кассационной жалобой на принятые судебные акты в части удовлетворения требования о взыскании неустойки,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Исследовав и оценив представленные в материалы обособленного спора доказательства, руководствуясь положениями статьи 819 Гражданского кодекса Российской Федерации, статьями 16, 71, 100, 134 Федерального законаот 26.10.2002 № 127-ФЗ «О несостоятельности (банкротстве)», разъяснениями, изложенными в постановлении Пленума Высшего Арбитражного Суда Российской Федерации от 23.07.2009 № 58 «О некоторых вопросах, связанных с удовлетворением требований залогодержателя при банкротстве залогодателя», суды пришли к выводу о доказанности наличия и размера требования банка по кредитному договору, признали заявленное требование обоснованным и подлежащим включению в реестр требований кредиторов третьей очереди как обеспеченное залогом, исключив из расчета пени период принятия наследства должника, не установив оснований для снижения предъявленной к включению в реестр неустойки в порядке статьи 333 Гражданского кодекса Российской Федерации.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основаны на ином толковании заявителем норм материального права,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Довод жалобы о необоснованном отказе суда первой инстанции в применении положений статьи 333 Гражданского кодекса Российской Федерации приводился в судах апелляционной и кассационной инстанций, был рассмотрен судами и мотивированно отклонен.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АО "Кемеровский механический завод" (подробнее) Ассоциация "Сибирская межрегиональная саморегулируемая организация арбитражных управляющих" (подробнее) АССОЦИАЦИЯ "УРАЛО-СИБИРСКОЕ ОБЪЕДИНЕНИЕ АРБИТРАЖНЫХ УПРАВЛЯЮЩИХ" (подробнее) ИФНС России по г.Кемерово (подробнее) ООО "Автопартнер" (подробнее) ООО "Металлоторговая компания "СибМетСклад" (подробнее) ООО МТК "СибМетСклад" (подробнее) ООО "Сибстрой" (подробнее) ООО "Фирма МЕН" (подробнее) ПАО "Банк ВТБ" (подробнее) ПАО Новосибирский социальный коммерческий банк "Левобережный" (подробнее) ПАО "Промсвязьбанк" (подробнее) ПАО "Промсвязьбанк" - Сибирский филиал (подробнее) ф/у Павленко Евгений Анатольевич (подробнее) Последние документы по делу: Определение от 17 января 2023 г. по делу № А27-18167/2018 Определение от 15 декабря 2022 г. по делу № А27-18167/2018 Определение от 31 марта 2022 г. по делу № А27-18167/2018 Показать все документы по этому делу Судебная практика по: По кредитам, по кредитным договорам, банки, банковский договор Судебная практика по применению норм ст. 819, 820, 821, 822, 823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