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16.01.2023, оставленным без изменения постановлением Шестого арбитражного апелляционного суда от 21.03.2023 и постановлением Арбитражного суда Дальневосточного округа от 01.06.2023, заявление удовлетворено в части включения в третью очередь реестра требования в размере 500 000 рублей основного долга и 225 500 рублей неустойки. В кассационной жалобе Лопатина А.А. просит об отмене судебных актов, ссылаясь на нарушение применяемых при банкротстве правил о доказывании и оценке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доказывания и оценки доказательств, касающихся наличия и размера задолженности, заявленной для включения в реестр, компетентно рассмотрены судами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Лопатиной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