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16.11.2022, оставленным без изменения постановлением Девятого арбитражного апелляционного суда от 06.02.2023 и постановлением Арбитражного суда Московского округа от 15.05.2023, требование в размере 36 561 462 рублей 92 копеек основного долга и процентов включены в третью очередь реестра, из них 3 150 054 рубля 01 копейка как обеспеченные залогом имущества должника. В кассационной жалобе Момотенко С.В. просит об отмене судебных актов, ссылаясь на неправильную оценку обстоятельств заключения и условий сделок о займах.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кассационной жалобы были предметом рассмотрения судов и оценки судов. Требуемая переоценка обстоятельств совершения и исполнения сделок не влечет пересмотра судебных актов в кассационном порядке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Момотенко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