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01.12.2022, оставленным без изменения постановлением Арбитражного суда Волго- Вятского округа от 19.05.2023,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