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с выводами судов, вытекающее из доводов кассационной жалобы, в силу статьи 29114 Арбитражного процессуального кодекса 2 Российской Федерации не может являться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«Алькампо»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