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(далее – реестр) его требований в размере 1 718 055 579 рублей 15 копеек. Определением Арбитражного суда города Москвы от 24.11.2022 требования банка в указанном размере признаны обоснованными и подлежащими удовлетворению за счёт имущества должника, оставшегося после удовлетворения требований кредиторов, включённых в реестр. Постановлением Девятого арбитражного апелляционного суда от 16.03.2023 изменено определение суда первой инстанции от 24.11.2022 в части определения очерёдности удовлетворения требований банка; требования банка в указанном размере признаны обоснованными и подлежащими удовлетворению в третьей очереди реестра. Постановлением Арбитражного суда Московского округа от 31.05.2023 отменено постановление апелляционного суда от 16.03.2023 в части определения очерёдности удовлетворения требований банка, в указанной части оставлено в силе определение суда первой инстанции от 24.11.2022.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суда округа, оставить в силе постановление апелляционного суда.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первой инстанции, руководствуясь правовой позицией, изложенной в пункте 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от 29.01.2020 (далее – Обзор о субординации), пришёл к выводу о наличии оснований для субординации требований банка, обладающего признаками фактической аффилированности к должнику, поскольку финансирование им должника осуществлялось в состоянии имущественного кризиса, позволяя должнику продолжать предпринимательскую деятельность, отклоняясь от заданного п. 1 ст. 9 Федерального закона от 26.10.2002 № 127-ФЗ «О несостоятельности (банкротстве)»(далее - Закон о банкротстве) стандарта поведения. Изменяя определение суда первой инстанции, апелляционный суд не установил признаков компенсационного финансирования ввиду отсутствия у должника имущественного кризиса, а также предоставления в аналогичный период времени должнику финансирования от иных кредитных организаций. Поддерживая вывод суда первой инстанции о том, что требования банка не могут конкурировать с требованиями независимых кредиторов должника, суд округа указал на ошибочность подхода апелляционного суда, который исходил исключительно из даты заключения кредитных и иных договоров, неверного толкования разъяснений Обзора о субординации. Выводы судов первой инстанции и округа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