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Несогласие с выводами судов по результатам оценки представленных доказательств, выраженное в доводах жалобы и направленное, по сути, на переоценку данных доказательств, установление новых обстоятельств по делу, учитывая полномочия Судебной коллегии Верховного Суда Российской Федерации, определенные статьей 29114 Арбитражного процессуального 2 кодекса Российской Федерации, не может служить основанием для отмены либо изменения обжалуемых судебных актов.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природоохранному бюджетному учреждению города Москвы «Московское городское управление природными территориями»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