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заявлениями, объединёнными в одно производство для совместного рассмотрения, в которых просил признать недействительными сделками платежи, совершённые должником в пользу Кузнецова Олега Сергеевича в размере 200 000 рублей и Кузнецова Сергея Владимировича в размере 575 000 рублей; применить последствия недействительности сделок. Определением Арбитражного суда Республики Татарстан от 27.12.2022, оставленным без изменения постановлениями Одиннадцатого арбитражного апелляционного суда от 30.03.2023 и Арбитражного суда Поволжского округа от 05.06.2023,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исходили из реальности сложившихся между незаинтересованными сторонами заёмных правоотношений и их возмездности, недоказанности совокупности условий для признания недействительными сделками оспариваемых платежей, совершённых за два с половиной года по принятия арбитражным судом заявления о признании должника банкротом, не установив у них пороков, выходящих за пределы дефектов подозрительных сделок и позволяющих применить положения статей 10, 168 Гражданского кодекса Российской Федерации.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