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суда. Определением Арбитражного суда Костромской области от 03.11.2022, оставленным без изменения постановлением Второго арбитражного апелляционного суда от 30.01.2023 и постановлением Арбитражного суда Волго-Вятского округа от 22.05.2023,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