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во Второй арбитражный апелляционный суд обратился должник с заявлением о принятии дополнительного постановления. Определением Второго арбитражного апелляционного суда от 18.11.2022, оставленным без изменения постановлением Арбитражного суда Волго- Вятского округа от 22.05.2023,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направлено на изменение содержания судебного акта, суд апелляционной инстанции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статей 286, 287 Арбитражного процессуального кодекса Российской Федерации законность судебного акта, правильность применения норм процессуального права, окружной суд согласился с выводом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