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с выводами судов по результатам оценки представленных доказательств, выраженное в доводах жалоб и направленное, по сути, на переоценку данных доказательств, установление новых обстоятельств по делу, учитывая полномочия Судебной коллегии Верховного Суда Российской Федерации, определенные статьей 29114 Арбитражного процессуального 2 кодекса Российской Федерации, не может служить основанием для отмены либо изменения обжалуемых судебных актов.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и акционерному обществу «Международный аэропорт Сочи»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