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Карачаево-Черкесской Республики от 10.03.2023, оставленным без изменения постановлением Шестнадцатого арбитражного апелляционного суда от 14.04.2023, заявление признано обоснованным, требования налогового органа к должнику признано погашенным и произведена его замена на Мисрокова А.Б. В кассационной жалобе Сагов Х.Г. просит об отмене судебных актов, ссылаясь на пропуск срока для погашения требования и игнорирование аффилированности должника и Мисрокова А.Б.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71.1, 85.1, 112.1, 129.1 Федерального закона от 26.10.2002 № 127-ФЗ «О несостоятельности (банкротстве)», установили состоявшийся переход прав от первоначального кредитора (налогового органа) к новому, поэтому произвели замену стороны в соответствии со статьей 48 Арбитражного процессуального кодекса Российской Федерации. Возражения заявителя, аналогичные изложенным в жалобе, были предметом исследования и оценки судов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Сагову Хезиру Гидовичу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