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18.10.2022, оставленным без изменения постановлением Девятого арбитражного апелляционного суда от 19.01.2023 и постановлением Арбитражного суда Московского округа от 28.04.2023, в удовлетворении заявления отказано. В кассационной жалобе Момотенко С.В. просит об отмене судебных актов, ссылаясь на неосновательные выводы в отношении валюты сделок и обстоятельств их совершения.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представленные доказательства в обоснование наличия заемного обязательства должника и признали их не отвечающими критериям статей 71, 100 Федерального закона от 26.10.2002 № 127-ФЗ «О несостоятельности (банкротстве)» для установления основанного на займе требования в реестре. Иная оценка обстоятельств совершения сделок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Момотенко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