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01.12.2022, оставленным без изменения постановлением Девятого арбитражного апелляционного суда от 15.02.2023 и постановлением Арбитражного суда Московского округа от 02.05.2023, в удовлетворении требования отказано. В кассационной жалобе Карандашева А.В. просит об отмене судебных актов, ссылаясь на игнорирование отсутствия состязательности участников.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Выводы судов соответствуют статьям 110, 111, 139, 213.26 Федерального закона от 26.10.2002 № 127-ФЗ «О несостоятельности (банкротстве)», статье 449 Гражданского кодекса Российской Федерации и их судебному толкованию.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Карандашевой Анастасии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