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28.11.2022, оставленным без изменения постановлением Девятого арбитражного апелляционного суда от 01.02.2023 и постановлением Арбитражного суда Московского округа от 25.04.2023, заявление удовлетворено: из конкурсной массы должника исключена 1/3 доли в праве на жилое помещение (квартиру). В кассационной жалобе Зенин В.А. просит об отмене судебных актов, ссылаясь на нарушение процессуальных прав, преждевременность установления исполнительского иммунитета по рассматриваемому заявлению.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Довод о нарушении процессуальных прав неоснователен. Придание исполнительского иммунитета доли в квартире соответствует статье 446 Гражданского процессуального кодекса Российской Федерации. Совершение сделки в пользу близкого родственника со спорной долей и ее возвращение в конкурсную массу вследствие признания сделки недействительной не влечет снятия с жилого помещения исполнительского иммунитета (постановление Конституционного Суда Российской Федерации от 26.04.2021 № 15-П).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Зенину В.А.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