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12.01.2023, оставленным без изменения постановлением Десятого арбитражного апелляционного суда от 13.03.2023 и постановлением Арбитражного суда Московского округа от 14.06.2023,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«Юридическое Бюро Факториус»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