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15.11.2022 требования общества в размере 17 569 366 рублей 66 копеек основного долга, 1 789 706 рублей 58 копеек процентов, 10 190 232 рублей 66 копеек пеней и 247 336 рублей 84 копеек пеней по процентам включены в третью очередь реестра с учетом положений пункта 3 статьи 137 Федерального закона от 26.10.2002 № 127-ФЗ «О несостоятельности (банкротстве)». Постановлением Девятого арбитражного апелляционного суда от 31.01.2023, оставленным без изменения постановлением Арбитражного суда Московского округа от 27.04.2023, определение от 15.11.2022 изменено: размер пеней уменьшен до 2 000 000 рублей. В кассационных жалобах Кривошеев О.Н. просит об отмене судебных актов, ссылаясь на процессуальные нарушения, отсутствие правопреемства на момент обращения кредитора с заявлением о включении в реестр, 2 а общество – об отмене постановлений апелляционного и окружного судов, указывая на отсутствие оснований для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Суды, оценив представленные доказательства, признали спорную задолженность отвечающей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в качестве требования к находящемуся в банкротстве должнику. Применение судами следующей из статьи 333 Гражданского кодекса Российской Федерации компетенции на рассмотрение вопроса об уменьшении неустойки не подлежит пересмотру в кассационном порядке. Доводы, приведенные в кассационной жалобе должника,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Кривошееву Олегу Николаевичу и обществу с ограниченной ответственностью «Энгельсская инвестиционная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