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10.10.2022, оставленным без изменения постановлением Девятого арбитражного апелляционного суда от 27.01.2023 и постановлением Арбитражного суда Московского округа от 21.04.2023, заявление удовлетворено. В кассационной жалобе Бейненсон Л.О. просит об отмене судебных актов, ссылаясь на недоказанность финансовой состоятельности кредитора и неосновательное восстановление срока для включения его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признали обоснованным требование кредитора как подтвержденное надлежащими доказательствами и соответствующее критериям статей 71, 100 Федерального закона от 26.10.2002 № 127-ФЗ «О несостоятельности (банкротстве)», восстановив срок для включения требований в реестр в силу компетенции, не подлежащей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Бейненсону Льву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