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25.01.2023, оставленным без изменения постановлением Девятого арбитражного апелляционного суда от 16.03.2023 и постановлением Арбитражного суда Московского округа от 24.05.2023, в удовлетворении ходатайства отказано. В кассационной жалобе Карданова Ю.В. просит об отмене судебных актов, ссылаясь на неправомерные исключение доли супруги должника при определении размера процентного вознаграждения и определение права должника и его детей на выплату прожиточного минимума в зависимости о наличия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процентное вознаграждение пропорционально периоду исполнения управляющим обязанностей в процедурах банкротства должника и вкладу в погашение требований кредиторов. Порядок и срок выплаты прожиточного минимума основан на статье 446 Гражданского процессуального кодекса Российской Федерации, ее судебном толковании и применении.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Кардановой Ю.В.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