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Ставропольского края от 26.10.2022, оставленным без изменения постановлением Шестнадцатого арбитражного апелляционного суда от 24.01.2023 и постановлением Арбитражного суда Северо-Кавказского округа от 25.04.2023, требование удовлетворено в части включения в третью очередь реестра должника 60 000 рублей судебных расходов. В кассационной жалобе Исаев В.З. просит об отмене судебных актов, ссылаясь на игнорирование преюдициального значения решения суда общей юрисдикции и нарушения в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Оценка необходимости следования установленным судом общей юрисдикции обстоятельствам в рассматриваемом споре основана на правилах и особенностях доказывания в делах о банкротстве.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Исаеву Владимиру Завлуевичу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