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Владимирской области от 23.05.2022, оставленным без изменения постановлением Первого арбитражного апелляционного суда от 05.12.2022 и постановлением Арбитражного суда Волго-Вятского округа от 27.04.2023, заявление удовлетворено. В кассационной жалобе Смолина Н.В. просит об отмене судебных актов, ссылаясь на отсутствие правовых оснований для признания сделки недействительной.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договор займа от 01.06.2021 заключен должником с нарушением запрета, установленного в пункте 5 статьи 213.11 Федерального закона от 26.10.2002 № 127-ФЗ «О несостоятельности (банкротстве)», вследствие чего является ничтожным. Иные толкование норм материального права и оценка обстоятельств спора заявителем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Смолиной Наталье Владимировне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