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29.08.2022, оставленным без изменения постановлением Восемнадцатого арбитражного апелляционного суда от 11.11.2022 и постановлением Арбитражного суда Уральского округа от 27.04.2023, процедура реализации имущества должника завершена, Фридман О.В. освобождена от дальнейшего исполнения требований кредиторов за исключением требования Баландина Алексея Александровича. В кассационной жалобе Фридман О.В. просит об отмене судебных актов, ссылаясь на беспричинный выбор несложенного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Мотивы несложения долга не связаны с основанием возникновения долга, а основаны на действиях должника в отношении погашения долга. Иная оценка должником своих действий в процедурах банкротства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Фридман Ольге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