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Саха (Якутия) от 14.10.2022, оставленным без изменения постановлением Четвертого арбитражного апелляционного суда от 27.02.2023 и постановлением Арбитражного суда Восточно-Сибирского округа от 28.04.2023, процедура реализации имущества завершена, должник освобожден от дальнейшего исполнения требований кредиторов, за исключением требований, предусмотренных пунктами 4 и 5 статьи 213.28 Федерального закона «О несостоятельности (банкротстве)», требований, о наличии которых кредиторы не знали и не должны были знать к моменту принятия определения о завершении реализации имущества гражданина, а также требований перед обществом с ограниченной ответственностью «Микрокредитная компания «Денежный поток» по возмещению причиненного преступлением имущественного ущерба. В кассационной жалобе Дьяконов А.М. просит об отмене судебных актов в части неосвобождения от исполнения обязательств, ссылаясь на причинение ущерба на меньшую нежели не сложена сумму.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Установленные обстоятельства образования несложенной задолженности суды признали попадающими под случаи применения пункта 4 статьи 213.28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Дьяконову Александру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