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Каморина А.А. в Арбитражный суд города Москвы обратился финансовый управляющий с заявлением о признании недействительным договора дарения квартиры от 24.09.2019, заключенного между Камориным А.А. и Камориным М.А., и применении последствий недействительности сделки. Определением Арбитражного суда города Москвы от 14.11.2022 в удовлетворении заявления отказано. Постановлением Девятого арбитражного апелляционного суда от 07.02.2023 определение суда первой инстанции отменено, заявление удовлетворено; признан недействительным договор дарения от 24.09.2019, применены последствия недействительности сделки в виде возврата имущества в конкурсную массу должника. Арбитражный суд Московского округа постановлением от 02.05.2023 постановление суда апелляционной инстанции оставил без изменения. Каморин М.А. и Каморин А.А.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наличия совокупности условий, необходимой для признания оспариваемой сделки недействительной, установив, что сделка совершена в пользу заинтересованного лица, при наличии признаков недостаточности имущества должника перед иными кредиторами, в результате чего из конкурсной массы должника безвозмездно выбыло недвижимое имущество.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