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Мухортова С.М. в Арбитражный суд города Санкт-Петербурга и Ленинградской области обратился финансовый управляющий имуществом должника Андреев В.П. с заявлением, уточненным в порядке статьи 49 Арбитражного процессуального кодекса Российской Федерации, об ограничении исполнительского иммунитета в отношении земельного участка и расположенного на нем жилого здания путем предоставления замещающего жилья; включении в конкурсную массу должника указанных земельного участка и жилого дома; утверждении положения об условиях и порядке предоставления замещающего жилья в деле о банкротстве должника в редакции, предложенной финансовым управляющим. Определением Арбитражного суда города Санкт-Петербурга и Ленинградской области от 09.01.2023, оставленным без изменения постановлением Тринадцатого арбитражного апелляционного суда от 13.04.2023, ограничен исполнительский иммунитет в отношении указанных объектов недвижимости, объекты включены в конкурсную массу должника, разрешены разногласия между финансовым управляющим и конкурсным кредитором Батулиным А.Л. по утверждению положения об условиях и 2 порядке приобретения замещающего жилья, утверждено положение об условиях и порядке приобретения замещающего жилья в деле о банкротстве должника в редакции проекта Батулина А.Л., приобщенного к дополнительным пояснениям от 07.12.2022 № 1/Д, за исключением пунктов 3.3 и 3.4 Положения и изменением пунктов 4.1, 4.2, 4.3, с изложением их в редакции, указанной в определении от 09.01.2023. Арбитражный суд Северо-Западного округа постановлением от 18.07.2023 указанные судебные акты отменил и в удовлетворении заявления финансового управляющего отказал. Батулин А.Л.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Руководствуясь положениями статей 60, 213.25 Федерального закона от 26.10.2002 № 127-ФЗ «О несостоятельности (банкротстве)», статьей 446 Гражданского процессуального кодекса Российской Федерации, учитывая отсутствие обстоятельств, свидетельствующих о злоупотреблении правом со стороны должника в отношении единственного пригодного для проживания жилья, недоказанность экономической целесообразности реализации спорных объектов недвижимости, необходимость соблюдения прав должника и членов его семьи, окружной суд пришел к выводу о том, что ограничение исполнительского иммунитета в отношении единственного жилья должника и членов его семьи для целей погашения неустойки является недопустимым и не соответствует основным конституционным принципам.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