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Свердловской области с заявлением о признании недействительными договоров купли-продажи недвижимого имущества от 02.02.2016, заключенных между должником и ФИО1 Определением суда первой инстанции от 06.02.2019 требования удовлетворены. Постановлением Семнадцатого арбитражного апелляционного суда от 12.04.2019 определение от 06.02.2019 отменено, в удовлетворении заявления отказано. Суд округа постановлением от 25.07.2019 оставил постановление от 12.04.2019 без изменения. В кассационной жалобе, поданной в Верховный Суд Российской Федерации, конкурсный управляющий должником просит отменить судебные акты судов апелляционной инстанции и округа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Отказывая в признании сделок недействительными, суд апелляционной инстанции, с выводами которого согласился суд округа, руководствовался статьей 61.2 Федерального закона от 26.10.2002 № 127-ФЗ «О несостоятельности (банкротстве)», учел разъяснения, содержащиеся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недоказанности как цели причинения вреда кредиторам должника, так и наличия у должника признаков неплатежеспособности.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Иные лица: МИФНС №32 по СО (подробнее) ООО "Коммунальный стандарт" (подробнее) ООО "КРАФТЕР" (подробнее) ООО "ТОРГОВАЯ КОМПАНИЯ "АТЛАС" (подробнее) Центр финансового оздоровления предприятий агропромышленного комплекса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