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определениями Арбитражного суда Челябинской области 29.05.2019 от 31.10.2019 заявления конкурсного управляющего должником, кредитора Гаммадова И.К. о привлечении к субсидиарной ответственности контролирующих должника лиц и заявление Кханбай Е.О. о взыскании убытков с Мешалкина В.Я. объединены в одно производство для совместного рассмотрения. В рамках указанного обособленного спора Мешалкин В.Я. обратился в суд с заявлением о привлечении в качестве ответчиков Иванова О.Г., Тупицина К.Б., Лачиной Н.П., Кханбхай Е.О., Маркова М.Ю., Альшевой Л.М., обществ с ограниченной ответственностью «Фортнокс», «Рестостар», «Партнер», «Консультации бизнеса и торговли», торгово-производственная компания «Аффина». Определением Арбитражного суда Челябинской области от 02.11.2022, оставленным без изменения постановлениями Восемнадцатого арбитражного апелляционного суда от 28.12.2022, в удовлетворении заявления Мешалкина В.Я. отказано. Определением Арбитражного суда Уральского округа от 13.02.2023, кассационная жалоба Мешалкина В.Я. на определение от 02.11.2022 возвращена. 2 Определением Арбитражного суда Уральского округа от 26.04.2023 отказано в удовлетворении жалобы на определение суда округа от 13.02.2023 о возвращении кассационной жалобы. В кассационной жалобе, поданной в Верховный Суд Российской Федерации, заявитель просит отменить оспариваемые судебные акты, ссылаясь на нарушение судами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характера, повлиявшей на права и обязанности заявителя.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